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676" w:rsidRPr="00775EB7" w:rsidRDefault="008F3676" w:rsidP="008F3676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8F3676" w:rsidRPr="00775EB7" w:rsidRDefault="008F3676" w:rsidP="008F3676">
      <w:pPr>
        <w:jc w:val="both"/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8"/>
        <w:gridCol w:w="4768"/>
      </w:tblGrid>
      <w:tr w:rsidR="008F3676" w:rsidRPr="00775EB7" w:rsidTr="00DE5211">
        <w:tc>
          <w:tcPr>
            <w:tcW w:w="4361" w:type="dxa"/>
            <w:vMerge w:val="restart"/>
          </w:tcPr>
          <w:p w:rsidR="008F3676" w:rsidRPr="00775EB7" w:rsidRDefault="008F3676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>Polgári jogi szakszemi-nárium III.</w:t>
            </w:r>
          </w:p>
        </w:tc>
        <w:tc>
          <w:tcPr>
            <w:tcW w:w="485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Neptun kódja: </w:t>
            </w:r>
            <w:bookmarkStart w:id="0" w:name="OLE_LINK28"/>
            <w:r w:rsidRPr="00775EB7">
              <w:rPr>
                <w:rFonts w:ascii="Garamond" w:hAnsi="Garamond"/>
                <w:sz w:val="22"/>
                <w:szCs w:val="22"/>
              </w:rPr>
              <w:t>DFDIÁJ268N3, DFDIÁJ268L3</w:t>
            </w:r>
            <w:bookmarkEnd w:id="0"/>
          </w:p>
        </w:tc>
      </w:tr>
      <w:tr w:rsidR="008F3676" w:rsidRPr="00775EB7" w:rsidTr="00DE5211">
        <w:tc>
          <w:tcPr>
            <w:tcW w:w="4361" w:type="dxa"/>
            <w:vMerge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85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Tantárgyfelelős neve, beosztása: </w:t>
            </w:r>
            <w:r>
              <w:rPr>
                <w:rFonts w:ascii="Garamond" w:hAnsi="Garamond"/>
                <w:sz w:val="22"/>
                <w:szCs w:val="22"/>
              </w:rPr>
              <w:t>Prof. Dr.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Barzó Tímea egyetemi </w:t>
            </w:r>
            <w:r>
              <w:rPr>
                <w:rFonts w:ascii="Garamond" w:hAnsi="Garamond"/>
                <w:sz w:val="22"/>
                <w:szCs w:val="22"/>
              </w:rPr>
              <w:t>tanár</w:t>
            </w:r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Oktatásba bevont oktatók neve, beosztása: </w:t>
            </w:r>
          </w:p>
        </w:tc>
      </w:tr>
      <w:tr w:rsidR="008F3676" w:rsidRPr="00775EB7" w:rsidTr="00DE5211">
        <w:tc>
          <w:tcPr>
            <w:tcW w:w="436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Félév: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páratlan</w:t>
            </w:r>
            <w:r w:rsidRPr="00775EB7">
              <w:rPr>
                <w:rFonts w:ascii="Garamond" w:hAnsi="Garamond"/>
                <w:sz w:val="22"/>
                <w:szCs w:val="22"/>
              </w:rPr>
              <w:t>/páros</w:t>
            </w:r>
          </w:p>
        </w:tc>
        <w:tc>
          <w:tcPr>
            <w:tcW w:w="485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 óra</w:t>
            </w:r>
          </w:p>
        </w:tc>
      </w:tr>
      <w:tr w:rsidR="008F3676" w:rsidRPr="00775EB7" w:rsidTr="00DE5211">
        <w:tc>
          <w:tcPr>
            <w:tcW w:w="436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851" w:type="dxa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polgári jogi kodifikációs folyamat eredményeképpen megszülető új Polgári Törvény-könyvről szóló 2013. évi V. törvény rég és új jogintézményeinek, megoldásainak, változtatásainak doktorandusz hallgatókkal történő megvitatása és elemzése.</w:t>
            </w:r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bookmarkStart w:id="1" w:name="OLE_LINK58"/>
            <w:bookmarkStart w:id="2" w:name="OLE_LINK59"/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Az új Ptk. Személyek joga részére vonatkozó kodifikációs munkálatok, előzmények, az új jogintézmények előkészítő munkálatai.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polgári jogi kodifikáció során felmerülő jogi modellek, külföldi jogösszehasonlító elemzés.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jogalanyiság kérdései. Az ember, mint jogalany jogállása, különös tekintettel a jogképesség és a cselekvőképesség tekintetében érvényesülő lényeges változásokra.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Az előzetes jognyilatkozat jogi múltja, jelene és jövője. A támogatott döntéshozatal, mint a cselekvőképesség korlátozásának elkerülését célzó jogi megoldás hatékonysága és veszélyei.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bírói gyakorlatban megfigyelhető szemléletváltás elemzése konkrét esetek alapján.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 xml:space="preserve">A jogi személyek könyv beemelése a törvénykönyvbe. Az általános szabályok jelentősége és kapcsolódási pontjai a Ptk-ban szabályozásra kerülő és azon kívüli egyes jogi személyekre vonatkozó rendelkezésekkel. 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Az alapítványok és az egyesületek szabályozásának komplexitása (kapcsolódása az egyesülési jogról, a közhasznú jogállásról, valamint a civil szervezetek működéséről és támogatásáról szóló 2011. évi CLXXV. törvény szigorú előírásaihoz). Az elektronikus eljárás lényeges pontjai.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bookmarkStart w:id="3" w:name="OLE_LINK60"/>
            <w:bookmarkStart w:id="4" w:name="OLE_LINK61"/>
            <w:bookmarkEnd w:id="1"/>
            <w:bookmarkEnd w:id="2"/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 xml:space="preserve">Személyiségvédelem új köntösben. Az általános személyiségi jog megjelenése. Jogellenességet kizáró okok a személyiségvédelemben. Közéleti szereplők sajátos megítélése. A Ptk-ban nevesített és nem nevesített személyiségi jogok és a bírói gyakorlat (jogesetelemzés). 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személyhez fűződő jogok védelmének objektív és szubjektív eszközei. A nem vagyoni kártérítés és a sérelemdíj összefüggései. A sérelemdíj bevezetését megelőző kodifikációs folyamatok, modellek, a sérelemdíj kettős természetes. A sérelemdíj és a nem vagyoni hátrány kapcsolata. A bírói gyakorlatban megfigyelhető szemléletváltás elemzése konkrét esetek alapján.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 xml:space="preserve"> A sajtóhelyreigazítás. A személyhez fűződő jogok érvényesítése.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családjogi alapelvek fejlődése, kapcsolata a Polgári Törvénykönyv más alapelveivel.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családjogban érvényesülő, jogilag is elismert párkapcsolati formák kialakulásának folyamata, az elismerés különböző modelljei, alkotmányos aggályok. A házasság és család védelmének prioritása az elméletben és a gyakorlatban.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Házassági vagyonjogi rendszerek az új Ptk-ban. A törvényes vagyonjogi rendszer jellemzői. A közszerzeményi rendszer múltja, jelene, jövője és jelentősége. Hitelezővédelem és felelősségi kérdések a házassági vagyonjogban az elmélet és a bírói gyakorlati oldaláról.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rokoni kapcsolat (apasági és anyasági kérdések, eljárások, az örökbefogadás) létesítésének új vonásai.</w:t>
            </w:r>
          </w:p>
          <w:p w:rsidR="008F3676" w:rsidRPr="00775EB7" w:rsidRDefault="008F3676" w:rsidP="008F3676">
            <w:pPr>
              <w:numPr>
                <w:ilvl w:val="0"/>
                <w:numId w:val="1"/>
              </w:numPr>
              <w:ind w:left="567" w:right="113" w:hanging="283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A szülői felügyelet rendezése, mint a „gyermekelhelyezés” új alternatívája. Az ún. váltott elhelyezés hatékonysága és alkalmazásának korlátai.</w:t>
            </w:r>
            <w:bookmarkEnd w:id="3"/>
            <w:bookmarkEnd w:id="4"/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módja: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írásbeli és szóbeli</w:t>
            </w:r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</w:t>
            </w:r>
          </w:p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nyelvű:</w:t>
            </w:r>
          </w:p>
          <w:p w:rsidR="008F3676" w:rsidRPr="00775EB7" w:rsidRDefault="008F3676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Barzó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Tímea: „Az ember, mint jogalany” In Bíró György (főszerk.): Új Magyar Polgári Jog (I-VIII.) Tankönyv I. kötet Általános tanok és Személyek joga (Novotni Kiadó Miskolc, 2013.) 164.-233.o</w:t>
            </w:r>
          </w:p>
          <w:p w:rsidR="008F3676" w:rsidRPr="00775EB7" w:rsidRDefault="008F3676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Barzó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Tímea: „A személyiségi jogok” In Bíró György (főszerk.): Új Magyar Polgári Jog (I-VIII.) Tankönyv I. kötet Általános tanok és Személyek joga (Novotni Kiadó Miskolc, 2013.) 234.-311.o</w:t>
            </w:r>
          </w:p>
          <w:p w:rsidR="008F3676" w:rsidRPr="00775EB7" w:rsidRDefault="008F3676" w:rsidP="00DE5211">
            <w:pPr>
              <w:shd w:val="clear" w:color="auto" w:fill="FFFFFF"/>
              <w:tabs>
                <w:tab w:val="left" w:pos="3340"/>
                <w:tab w:val="left" w:pos="6090"/>
              </w:tabs>
              <w:ind w:left="142"/>
              <w:jc w:val="both"/>
              <w:textAlignment w:val="baseline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Barzó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Tímea: Házassági vagyonjog. In: Barzó Tímea - Lábady Tamás - Navratyil Zoltán – Csehi Zoltán – Kenderes Andrea: Családjog a 2013. évi V. törvény alapján. Az új Polgári Törvénykönyv </w:t>
            </w: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szövegének rövid magyarázata ideiglenes jegyzet. Menedzser Praxis Szakkiadó és Gazdasági Tanácsadó Kft. Budapest, 2014. 34-135. o</w:t>
            </w:r>
          </w:p>
          <w:p w:rsidR="008F3676" w:rsidRPr="00775EB7" w:rsidRDefault="008F3676" w:rsidP="00DE5211">
            <w:pPr>
              <w:pStyle w:val="Default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FILÓ Erika – KATONÁNÉ PEHR Erika: Gyermeki jogok, szülői felelősség és gyermekvédelem. Új magánjog sorozat. Szerk. Sáriné Dr. Simkó Ágnes. HVGORAC Kiadó Budapest 2015.</w:t>
            </w:r>
          </w:p>
          <w:p w:rsidR="008F3676" w:rsidRPr="00775EB7" w:rsidRDefault="008F3676" w:rsidP="00DE5211">
            <w:pPr>
              <w:pStyle w:val="Default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BARZÓ Tímea: Hitelezővédelmi szabályok a házassági vagyonjogban. Acta Universitatis Szegediensis FORUM Acta Juridica et Politica IV. évfolyam, 2. szám 2014 (2015) 41-55. o.</w:t>
            </w:r>
          </w:p>
          <w:p w:rsidR="008F3676" w:rsidRPr="00775EB7" w:rsidRDefault="008F3676" w:rsidP="00DE5211">
            <w:pPr>
              <w:pStyle w:val="Default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nyelvű:</w:t>
            </w:r>
          </w:p>
          <w:p w:rsidR="008F3676" w:rsidRPr="00775EB7" w:rsidRDefault="008F3676" w:rsidP="00DE5211">
            <w:pPr>
              <w:shd w:val="clear" w:color="auto" w:fill="FFFFFF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bookmarkStart w:id="5" w:name="OLE_LINK53"/>
            <w:bookmarkStart w:id="6" w:name="OLE_LINK54"/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1.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Barzó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Tímea: Matrimonial Property Issues in Business. In: Sándor István (szerk): Business Law in Hungary, Patrocínium Kiadó, Budapest, 2016. pp 148-167.</w:t>
            </w:r>
          </w:p>
          <w:p w:rsidR="008F3676" w:rsidRPr="00775EB7" w:rsidRDefault="008F3676" w:rsidP="00DE5211">
            <w:pPr>
              <w:pStyle w:val="Default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BARZÓ Tímea: Parental guidance and maintenance of relativies in the new Hungarian Civil Code. In: Current questions and european answers ont he field of law and justice in Romania and Hungary. Erika Váradi-Csema (chief editor) The volume was published by the University of Miskolc, Faculty of Law and the State University of Oradea, Faculty of Law. Miskolc 2015. 16-27.</w:t>
            </w:r>
          </w:p>
          <w:p w:rsidR="008F3676" w:rsidRPr="00775EB7" w:rsidRDefault="008F3676" w:rsidP="00DE5211">
            <w:pPr>
              <w:pStyle w:val="Default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Juxtaposing Legal Systems and the Principles of European Family Law on Parental Responsibilities. (Eds E.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Örücü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- J.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Mair</w:t>
            </w:r>
            <w:r w:rsidRPr="00775EB7">
              <w:rPr>
                <w:rFonts w:ascii="Garamond" w:hAnsi="Garamond"/>
                <w:sz w:val="22"/>
                <w:szCs w:val="22"/>
              </w:rPr>
              <w:t>) European Family Law series 27. Intersentia Antwerp-Oxford-Portland 2010. 3-15. 269-299.</w:t>
            </w:r>
            <w:bookmarkEnd w:id="5"/>
            <w:bookmarkEnd w:id="6"/>
          </w:p>
        </w:tc>
      </w:tr>
      <w:tr w:rsidR="008F3676" w:rsidRPr="00775EB7" w:rsidTr="00DE5211">
        <w:tc>
          <w:tcPr>
            <w:tcW w:w="9212" w:type="dxa"/>
            <w:gridSpan w:val="2"/>
          </w:tcPr>
          <w:p w:rsidR="008F3676" w:rsidRPr="00775EB7" w:rsidRDefault="008F3676" w:rsidP="00DE5211">
            <w:pPr>
              <w:tabs>
                <w:tab w:val="left" w:pos="2080"/>
              </w:tabs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Ajánlott irodalom:</w:t>
            </w:r>
          </w:p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nyelvű:</w:t>
            </w:r>
          </w:p>
          <w:p w:rsidR="008F3676" w:rsidRPr="00775EB7" w:rsidRDefault="008F3676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</w:t>
            </w:r>
            <w:r w:rsidRPr="00775EB7">
              <w:rPr>
                <w:rFonts w:ascii="Garamond" w:eastAsia="Times New Roman" w:hAnsi="Garamond"/>
                <w:bCs/>
                <w:color w:val="000000"/>
                <w:sz w:val="22"/>
                <w:szCs w:val="22"/>
              </w:rPr>
              <w:t xml:space="preserve">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Dezső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Gyula: Az objectiv kártérítés tana. Függelék: Az erkölcsi kár. Grill Károly Könyvkiadóvállalata Budapest, 1917</w:t>
            </w:r>
            <w:r w:rsidRPr="00775EB7">
              <w:rPr>
                <w:rFonts w:ascii="Garamond" w:eastAsia="Times New Roman" w:hAnsi="Garamond"/>
                <w:bCs/>
                <w:color w:val="000000"/>
                <w:sz w:val="22"/>
                <w:szCs w:val="22"/>
              </w:rPr>
              <w:t>.</w:t>
            </w:r>
          </w:p>
          <w:p w:rsidR="008F3676" w:rsidRPr="00775EB7" w:rsidRDefault="008F3676" w:rsidP="00DE5211">
            <w:pPr>
              <w:tabs>
                <w:tab w:val="center" w:pos="4498"/>
              </w:tabs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Marton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Géza: Kártérítési kötelmek jogellenes magatartásból. In: Magyar Magánjog. Kötelmi Jog Különös része. Szladits Károly (főszerk.) Grill Károly Könyvkiadóvállalata Budapest, 1942.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color w:val="000000"/>
                <w:sz w:val="22"/>
                <w:szCs w:val="22"/>
              </w:rPr>
              <w:t xml:space="preserve">3.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Törő</w:t>
            </w:r>
            <w:r w:rsidRPr="00775EB7">
              <w:rPr>
                <w:rFonts w:ascii="Garamond" w:hAnsi="Garamond"/>
                <w:sz w:val="22"/>
                <w:szCs w:val="22"/>
              </w:rPr>
              <w:t>, K.: A személyiségi jog védelmének polgári jogi eszközei XI. fejezet In: A személyiség jogi védelme. A gyakorló jogász kézikönyve 6. (Szerk. Petrik Ferenc) Budapest, Közgazdasági és Jogi Könyvkiadó, 1992.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4.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Lábady </w:t>
            </w:r>
            <w:r w:rsidRPr="00775EB7">
              <w:rPr>
                <w:rFonts w:ascii="Garamond" w:hAnsi="Garamond"/>
                <w:sz w:val="22"/>
                <w:szCs w:val="22"/>
              </w:rPr>
              <w:t>Tamás: A nem vagyoni kártérítés metamorfózisa sérelemdíjjá. A bírói gyakorlat kezdeti dilemmái. Polgári Jog 2016/2.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5.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Fézer T</w:t>
            </w:r>
            <w:r w:rsidRPr="00775EB7">
              <w:rPr>
                <w:rFonts w:ascii="Garamond" w:hAnsi="Garamond"/>
                <w:sz w:val="22"/>
                <w:szCs w:val="22"/>
              </w:rPr>
              <w:t>amás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A nem vagyoni (erkölcsi) sérelmek megítélése a polgári jogban.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 </w:t>
            </w:r>
            <w:r w:rsidRPr="00775EB7">
              <w:rPr>
                <w:rFonts w:ascii="Garamond" w:hAnsi="Garamond"/>
                <w:sz w:val="22"/>
                <w:szCs w:val="22"/>
              </w:rPr>
              <w:t>Budapest, HVG-ORAC Kiadó 2011.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6.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Boytha G</w:t>
            </w:r>
            <w:r w:rsidRPr="00775EB7">
              <w:rPr>
                <w:rFonts w:ascii="Garamond" w:hAnsi="Garamond"/>
                <w:sz w:val="22"/>
                <w:szCs w:val="22"/>
              </w:rPr>
              <w:t>yörgy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A személyiségi jogok megsértésének vagyoni szankcionálása.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 </w:t>
            </w:r>
            <w:r w:rsidRPr="00775EB7">
              <w:rPr>
                <w:rFonts w:ascii="Garamond" w:hAnsi="Garamond"/>
                <w:sz w:val="22"/>
                <w:szCs w:val="22"/>
              </w:rPr>
              <w:t>Polgári jogi kodifikáció, 2003. 5. évf. 1. szám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PETRIK Ferenc: A nem vagyoni kár megtérítése védelmében. Polgári jogi kodifikáció, 2003. 5. évf. 1. szám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8.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Kőrös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András -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Petrik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Ferenc (szerk.) Polgári jog III/VI., Budapest, HVG Orac, 2014., [Családjog]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9.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Vékás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Lajos -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Gárdos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Péter (szerk.) Kommentár a Polgári Törvénykönyvhöz, Budapest, Wolters Kluwer, 2014.</w:t>
            </w:r>
          </w:p>
          <w:p w:rsidR="008F3676" w:rsidRPr="00775EB7" w:rsidRDefault="008F3676" w:rsidP="00DE5211">
            <w:pPr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10.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Osztovics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András (szerk.) A Polgári Törvénykönyvről szóló 2013. évi V. törvény és a kapcsolódó jogszabályok nagykommentárja II. kötet, Budapest, Opten Informatikai Kft., 2014.</w:t>
            </w:r>
          </w:p>
          <w:p w:rsidR="008F3676" w:rsidRPr="00775EB7" w:rsidRDefault="008F3676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nyelvű:</w:t>
            </w:r>
          </w:p>
          <w:p w:rsidR="008F3676" w:rsidRPr="00775EB7" w:rsidRDefault="008F3676" w:rsidP="00DE5211">
            <w:pPr>
              <w:shd w:val="clear" w:color="auto" w:fill="FFFFFF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bookmarkStart w:id="7" w:name="OLE_LINK55"/>
            <w:bookmarkStart w:id="8" w:name="OLE_LINK56"/>
            <w:bookmarkStart w:id="9" w:name="OLE_LINK57"/>
            <w:r w:rsidRPr="00775EB7">
              <w:rPr>
                <w:rFonts w:ascii="Garamond" w:eastAsia="Times New Roman" w:hAnsi="Garamond"/>
                <w:sz w:val="22"/>
                <w:szCs w:val="22"/>
              </w:rPr>
              <w:t>1. BARZÓ Tímea: Deliberating the Role and Place of the Engagement as one of the institutions of Family Law: Should Parties Who Intend to Get Married be Considered as Engaged at the Same Time? In: European Integration Studies, 2011. (Vol. 9) No.1, pp. 17-25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. </w:t>
            </w:r>
          </w:p>
          <w:p w:rsidR="008F3676" w:rsidRPr="00775EB7" w:rsidRDefault="008F3676" w:rsidP="00DE5211">
            <w:pPr>
              <w:shd w:val="clear" w:color="auto" w:fill="FFFFFF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2.The Future of Family property in Europe. (eds K. </w:t>
            </w: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Boele-Woelki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; J. K.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Miles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; J. M.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Scherpe) </w:t>
            </w:r>
            <w:r w:rsidRPr="00775EB7">
              <w:rPr>
                <w:rFonts w:ascii="Garamond" w:hAnsi="Garamond"/>
                <w:sz w:val="22"/>
                <w:szCs w:val="22"/>
              </w:rPr>
              <w:t>European Family Law series 29. Intersentia Antwerp-Oxford-Portland 2011.</w:t>
            </w:r>
          </w:p>
          <w:p w:rsidR="008F3676" w:rsidRPr="00775EB7" w:rsidRDefault="008F3676" w:rsidP="00DE5211">
            <w:pPr>
              <w:shd w:val="clear" w:color="auto" w:fill="FFFFFF"/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Family Forms and Parenthood. (eds A.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Büchler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; H.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Keller) </w:t>
            </w:r>
            <w:r w:rsidRPr="00775EB7">
              <w:rPr>
                <w:rFonts w:ascii="Garamond" w:hAnsi="Garamond"/>
                <w:sz w:val="22"/>
                <w:szCs w:val="22"/>
              </w:rPr>
              <w:t>European Family Law series 40. Intersentia Antwerp-Oxford-Portland 2016.</w:t>
            </w:r>
            <w:bookmarkEnd w:id="7"/>
            <w:bookmarkEnd w:id="8"/>
            <w:bookmarkEnd w:id="9"/>
          </w:p>
        </w:tc>
      </w:tr>
    </w:tbl>
    <w:p w:rsidR="00D32926" w:rsidRDefault="008F3676">
      <w:bookmarkStart w:id="10" w:name="_GoBack"/>
      <w:bookmarkEnd w:id="10"/>
    </w:p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21655"/>
    <w:multiLevelType w:val="hybridMultilevel"/>
    <w:tmpl w:val="F40E813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676"/>
    <w:rsid w:val="00622808"/>
    <w:rsid w:val="008F3676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BAA30A39-4EAC-D242-8511-851B0D615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8F3676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8F3676"/>
    <w:pPr>
      <w:autoSpaceDE w:val="0"/>
      <w:autoSpaceDN w:val="0"/>
      <w:adjustRightInd w:val="0"/>
    </w:pPr>
    <w:rPr>
      <w:rFonts w:eastAsia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909</Words>
  <Characters>6276</Characters>
  <Application>Microsoft Office Word</Application>
  <DocSecurity>0</DocSecurity>
  <Lines>52</Lines>
  <Paragraphs>14</Paragraphs>
  <ScaleCrop>false</ScaleCrop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2024-09-05T09:36:00Z</dcterms:created>
  <dcterms:modified xsi:type="dcterms:W3CDTF">2024-09-05T09:36:00Z</dcterms:modified>
</cp:coreProperties>
</file>